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0E0A31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46475A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حسابداری</w:t>
            </w:r>
            <w:r w:rsidR="0046475A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و حسابرسی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46475A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922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C4366E" w:rsidRPr="00D92CAE" w:rsidTr="000E0A31">
        <w:trPr>
          <w:trHeight w:hRule="exact" w:val="576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تاثیراندازه موسسات حسابرسی بر مدیریت سود اقلام تعهدی اختیاری بااستفاده از مدل لارنس(با تاکیدبرموسسات خصوصی حسابرسی)</w:t>
            </w:r>
          </w:p>
        </w:tc>
      </w:tr>
      <w:tr w:rsidR="00C4366E" w:rsidRPr="00D92CAE" w:rsidTr="000E0A31">
        <w:trPr>
          <w:trHeight w:hRule="exact" w:val="576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847D24">
            <w:pPr>
              <w:bidi/>
              <w:ind w:left="0" w:firstLine="0"/>
              <w:rPr>
                <w:rFonts w:cs="B Zar" w:hint="cs"/>
                <w:sz w:val="24"/>
                <w:szCs w:val="24"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رابطه ی بین افشای مسئولیت اجتماعی وریسک اعتباری بانکهای پذیرفته شده در بورس اوراق بهادار تهران </w:t>
            </w:r>
          </w:p>
          <w:p w:rsidR="00C4366E" w:rsidRPr="006E4561" w:rsidRDefault="00C4366E" w:rsidP="00C4366E">
            <w:pPr>
              <w:bidi/>
              <w:ind w:left="0" w:firstLine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366E" w:rsidRPr="00D92CAE" w:rsidTr="000E0A31">
        <w:trPr>
          <w:trHeight w:hRule="exact" w:val="576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تاثیر کیفیت حسابرسی بر کیفیت سود وهزینه سرمایه شرکت های پذیرفته شده بورس اوراق بهادار تهران</w:t>
            </w:r>
          </w:p>
        </w:tc>
      </w:tr>
      <w:tr w:rsidR="00C4366E" w:rsidRPr="00D92CAE" w:rsidTr="006E4561">
        <w:trPr>
          <w:trHeight w:hRule="exact" w:val="586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847D24">
            <w:pPr>
              <w:bidi/>
              <w:ind w:left="0" w:firstLine="0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بررسی رابطه ی بین مدیریت سود واقعی ومدیریت سود تعهدی با ارتباطات سیاسی در شرکت های پذیرفته شده بورس اوراق بهادار تهران </w:t>
            </w:r>
          </w:p>
        </w:tc>
      </w:tr>
      <w:tr w:rsidR="00C4366E" w:rsidRPr="00D92CAE" w:rsidTr="006E4561">
        <w:trPr>
          <w:trHeight w:hRule="exact" w:val="451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شدت مخارج تحقیق وتوسعه، عملکرد آتی و پریشانی عملیاتی</w:t>
            </w:r>
          </w:p>
        </w:tc>
      </w:tr>
      <w:tr w:rsidR="00C4366E" w:rsidRPr="00D92CAE" w:rsidTr="006E4561">
        <w:trPr>
          <w:trHeight w:hRule="exact" w:val="541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6E4561">
            <w:pPr>
              <w:bidi/>
              <w:ind w:left="0" w:firstLine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تاثیر معاملات با</w:t>
            </w:r>
            <w:r w:rsidR="006E456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اشخاص وابسته بر صورتهای مالی مقایسه ای در شرکت های  </w:t>
            </w:r>
            <w:r w:rsidRPr="006E456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پذیرفته شده در بورس اوراق بهادار تهران</w:t>
            </w:r>
          </w:p>
        </w:tc>
      </w:tr>
      <w:tr w:rsidR="00C4366E" w:rsidRPr="00D92CAE" w:rsidTr="006E4561">
        <w:trPr>
          <w:trHeight w:hRule="exact" w:val="532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تأثیر ساختار سرمایه وتامین مالی برون سازمانی بر عملکرد شرکت های پذیرفته شده در بورس اوراق بهادار تهران</w:t>
            </w:r>
          </w:p>
        </w:tc>
      </w:tr>
      <w:tr w:rsidR="00C4366E" w:rsidRPr="00D92CAE" w:rsidTr="006E4561">
        <w:trPr>
          <w:trHeight w:hRule="exact" w:val="460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مطالعه رابطه بین کیفیت سود، مکانیزهام کنترل راهبری شرکت وبازده آتی سهام در شرکت های  </w:t>
            </w:r>
            <w:r w:rsidRPr="006E456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پذیرفته شده در بورس اوراق بهادار تهران</w:t>
            </w:r>
          </w:p>
        </w:tc>
      </w:tr>
      <w:tr w:rsidR="00C4366E" w:rsidRPr="00D92CAE" w:rsidTr="006E4561">
        <w:trPr>
          <w:trHeight w:hRule="exact" w:val="442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تأثیر چرخه عمرشرکت  بررابطه میان تفاوت مالیات ابرازی -تشخیصی وپایدار ی سود در شرکت های پذیرفته شده در بورس اوراق بهادار تهران</w:t>
            </w:r>
          </w:p>
        </w:tc>
      </w:tr>
      <w:tr w:rsidR="00C4366E" w:rsidRPr="00D92CAE" w:rsidTr="006E4561">
        <w:trPr>
          <w:trHeight w:hRule="exact" w:val="442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ی اظهار نظر حسابرسی وعدم تقارن اطلاعات در شرکتهای پذیرفته شده در بورس اوراق بهادار تهران</w:t>
            </w:r>
          </w:p>
        </w:tc>
      </w:tr>
      <w:tr w:rsidR="00C4366E" w:rsidRPr="00D92CAE" w:rsidTr="006E4561">
        <w:trPr>
          <w:trHeight w:hRule="exact" w:val="451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  <w:vAlign w:val="center"/>
          </w:tcPr>
          <w:p w:rsidR="00C4366E" w:rsidRPr="006E4561" w:rsidRDefault="00847D24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ی حاکمیت شرکتی وسرمایه فکری در فرآیند ایجادوارزش درسازمان های پذیرفته شده  در بورس اوراق بهادار تهران</w:t>
            </w:r>
          </w:p>
        </w:tc>
      </w:tr>
      <w:tr w:rsidR="00C4366E" w:rsidRPr="00D92CAE" w:rsidTr="000E0A31">
        <w:trPr>
          <w:trHeight w:hRule="exact" w:val="576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  <w:vAlign w:val="center"/>
          </w:tcPr>
          <w:p w:rsidR="00847D24" w:rsidRPr="006E4561" w:rsidRDefault="006E4561" w:rsidP="006E4561">
            <w:pPr>
              <w:bidi/>
              <w:spacing w:line="276" w:lineRule="auto"/>
              <w:ind w:left="241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847D24" w:rsidRPr="006E4561">
              <w:rPr>
                <w:rFonts w:cs="B Zar" w:hint="cs"/>
                <w:sz w:val="24"/>
                <w:szCs w:val="24"/>
                <w:rtl/>
                <w:lang w:bidi="fa-IR"/>
              </w:rPr>
              <w:t>رابطه اندازه هیئت مدیره، تخصص حسابرس ، دوره تصدی حسابرس با مدیریت سود در شرکت های پذیرفته شده بورس اوراق بهادار تهران</w:t>
            </w:r>
          </w:p>
          <w:p w:rsidR="00C4366E" w:rsidRPr="006E4561" w:rsidRDefault="00C4366E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4366E" w:rsidRPr="009C37A9" w:rsidTr="006E4561">
        <w:trPr>
          <w:trHeight w:hRule="exact" w:val="496"/>
        </w:trPr>
        <w:tc>
          <w:tcPr>
            <w:tcW w:w="450" w:type="dxa"/>
            <w:vAlign w:val="center"/>
          </w:tcPr>
          <w:p w:rsidR="00C4366E" w:rsidRPr="00D92CAE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  <w:vAlign w:val="center"/>
          </w:tcPr>
          <w:p w:rsidR="00847D24" w:rsidRPr="006E4561" w:rsidRDefault="006E4561" w:rsidP="006E4561">
            <w:pPr>
              <w:bidi/>
              <w:spacing w:line="276" w:lineRule="auto"/>
              <w:ind w:left="241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847D24"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اثر حاکمیت شرکتی بر رابطه بین ومدیریت سود واقعی وتعهدی  وجریان نقدآزاد در شرکتهای پذیرفته شده در بورس اوراق بهادارتهران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4366E" w:rsidRPr="006E4561" w:rsidRDefault="00C4366E" w:rsidP="00C4366E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E0A31" w:rsidRPr="009C37A9" w:rsidTr="006E4561">
        <w:trPr>
          <w:trHeight w:hRule="exact" w:val="532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تصمیمات سرمایه گذاری در شرکتهای پذیرفته شده در بورس اوراق بهادارتهران</w:t>
            </w:r>
          </w:p>
        </w:tc>
      </w:tr>
      <w:tr w:rsidR="000E0A31" w:rsidRPr="009C37A9" w:rsidTr="006E4561">
        <w:trPr>
          <w:trHeight w:hRule="exact" w:val="451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تاثیر ویژگیهای کمیته حسابرسی براجرای توصیه های حسابرسی داخلی</w:t>
            </w:r>
          </w:p>
        </w:tc>
      </w:tr>
      <w:tr w:rsidR="000E0A31" w:rsidRPr="009C37A9" w:rsidTr="006E4561">
        <w:trPr>
          <w:trHeight w:hRule="exact" w:val="451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حقوق مالکانه با تقسیم سود در شرکتهای پذیرفته شده در بورس اوراق بهادار تهران</w:t>
            </w:r>
          </w:p>
        </w:tc>
      </w:tr>
      <w:tr w:rsidR="000E0A31" w:rsidRPr="009C37A9" w:rsidTr="006E4561">
        <w:trPr>
          <w:trHeight w:hRule="exact" w:val="442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pStyle w:val="Subtitle"/>
              <w:bidi/>
              <w:spacing w:after="0"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اثرات مدیریت سود روی ساختار شرکتهای تولیدی پذیرفته شده در بورس اوراق بهادار تهران</w:t>
            </w:r>
          </w:p>
        </w:tc>
      </w:tr>
      <w:tr w:rsidR="000E0A31" w:rsidRPr="009C37A9" w:rsidTr="006E4561">
        <w:trPr>
          <w:trHeight w:hRule="exact" w:val="532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بازده سرمایه گذاری ، تغییرات منابع نقدی، ارزش شرکت وبقاء مدیریتی باسود تقسیمی در شرکت های پذیرفته شده در بورس اوراق بهادار تهران</w:t>
            </w:r>
          </w:p>
        </w:tc>
      </w:tr>
      <w:tr w:rsidR="000E0A31" w:rsidRPr="009C37A9" w:rsidTr="006E4561">
        <w:trPr>
          <w:trHeight w:hRule="exact" w:val="451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بین کیفیت حسابرسی با رشد شرکت در شرکتهای پذیرفته شده در بورس اوراق بهادار تهران</w:t>
            </w:r>
          </w:p>
        </w:tc>
      </w:tr>
      <w:tr w:rsidR="000E0A31" w:rsidRPr="009C37A9" w:rsidTr="006E4561">
        <w:trPr>
          <w:trHeight w:hRule="exact" w:val="532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E4561">
              <w:rPr>
                <w:rFonts w:cs="B Zar" w:hint="cs"/>
                <w:sz w:val="24"/>
                <w:szCs w:val="24"/>
                <w:rtl/>
                <w:lang w:bidi="fa-IR"/>
              </w:rPr>
              <w:t>تأثیر اظهارنظر حسابرس ومدیریت سود در پیش بینی ورشکستگی شرکت های فهرست شده در بورس اوراق بهادار تهران</w:t>
            </w:r>
          </w:p>
        </w:tc>
      </w:tr>
      <w:tr w:rsidR="000E0A31" w:rsidRPr="009C37A9" w:rsidTr="006E4561">
        <w:trPr>
          <w:trHeight w:hRule="exact" w:val="451"/>
        </w:trPr>
        <w:tc>
          <w:tcPr>
            <w:tcW w:w="450" w:type="dxa"/>
            <w:vAlign w:val="center"/>
          </w:tcPr>
          <w:p w:rsidR="000E0A31" w:rsidRPr="00D92CAE" w:rsidRDefault="006E4561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1340" w:type="dxa"/>
            <w:vAlign w:val="center"/>
          </w:tcPr>
          <w:p w:rsidR="000E0A31" w:rsidRPr="006E4561" w:rsidRDefault="00847D24" w:rsidP="0032781D">
            <w:pPr>
              <w:bidi/>
              <w:ind w:left="0" w:firstLine="0"/>
              <w:rPr>
                <w:rFonts w:cs="B Zar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رابطه مکانیزم های حاکمیتی ، ارزش سازمانی وبرآوردهای مدیریتی با هزینه نمایندگی و ناتوانی مالی : مطالعه ای بر روی شرکت های پذیرفته شده در بورس اوراق بهادار تهران</w:t>
            </w:r>
          </w:p>
        </w:tc>
      </w:tr>
      <w:tr w:rsidR="00847D24" w:rsidRPr="009C37A9" w:rsidTr="006E4561">
        <w:trPr>
          <w:trHeight w:hRule="exact" w:val="361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تاثیر تخصص حسابرسان بر کاهش سوء گیری های رفتاری حسابرسان</w:t>
            </w:r>
          </w:p>
        </w:tc>
      </w:tr>
      <w:tr w:rsidR="00847D24" w:rsidRPr="009C37A9" w:rsidTr="006E4561">
        <w:trPr>
          <w:trHeight w:hRule="exact" w:val="541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بررسی تاثیر چسبندگی هزینه ها و محافظه کاری مشروط بر عدم تقارن هزینه، حجم فعالیت و سود درشرکت های پذیرفته شده در بورس اوراق بهادار تهران</w:t>
            </w:r>
          </w:p>
        </w:tc>
      </w:tr>
      <w:tr w:rsidR="00847D24" w:rsidRPr="009C37A9" w:rsidTr="006E4561">
        <w:trPr>
          <w:trHeight w:hRule="exact" w:val="433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بررسی تاثیر بین سیاست پولی ومحافظه کاری بر اعتبار تجاری شرکتهای پذیرفته شده در بورس اوراق بهادارتهران</w:t>
            </w:r>
          </w:p>
        </w:tc>
      </w:tr>
      <w:tr w:rsidR="00847D24" w:rsidRPr="009C37A9" w:rsidTr="006E4561">
        <w:trPr>
          <w:trHeight w:hRule="exact" w:val="550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بررسی رابطه بین معاملات سهام بر دقت پیش بینی در شرکتهای پذیرفته شده در بورس اوراق بهادار تهران</w:t>
            </w:r>
          </w:p>
        </w:tc>
      </w:tr>
      <w:tr w:rsidR="00847D24" w:rsidRPr="009C37A9" w:rsidTr="006E4561">
        <w:trPr>
          <w:trHeight w:hRule="exact" w:val="532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بررسی رابطه ویژگیهای مدیریت وانتشار صورتهای مالی  مطالعه ای برروی شرکتهای پذیرفته شده در بورس اوراق بهادار تهران</w:t>
            </w:r>
          </w:p>
        </w:tc>
      </w:tr>
      <w:tr w:rsidR="00847D24" w:rsidRPr="009C37A9" w:rsidTr="006E4561">
        <w:trPr>
          <w:trHeight w:hRule="exact" w:val="622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>اثر سیاست های پو</w:t>
            </w:r>
            <w:bookmarkStart w:id="2" w:name="_GoBack"/>
            <w:bookmarkEnd w:id="2"/>
            <w:r w:rsidRPr="006E4561">
              <w:rPr>
                <w:rFonts w:cs="B Zar" w:hint="cs"/>
                <w:rtl/>
                <w:lang w:bidi="fa-IR"/>
              </w:rPr>
              <w:t>لی برقیمت سهام بانک ها در دوره های بحران مالی</w:t>
            </w:r>
          </w:p>
        </w:tc>
      </w:tr>
      <w:tr w:rsidR="00847D24" w:rsidRPr="009C37A9" w:rsidTr="006E4561">
        <w:trPr>
          <w:trHeight w:hRule="exact" w:val="541"/>
        </w:trPr>
        <w:tc>
          <w:tcPr>
            <w:tcW w:w="450" w:type="dxa"/>
            <w:vAlign w:val="center"/>
          </w:tcPr>
          <w:p w:rsidR="00847D24" w:rsidRPr="00D92CAE" w:rsidRDefault="006E4561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1340" w:type="dxa"/>
            <w:vAlign w:val="center"/>
          </w:tcPr>
          <w:p w:rsidR="00847D24" w:rsidRPr="006E4561" w:rsidRDefault="00847D24" w:rsidP="0032781D">
            <w:pPr>
              <w:bidi/>
              <w:ind w:left="0" w:firstLine="0"/>
              <w:rPr>
                <w:rFonts w:cs="B Zar" w:hint="cs"/>
                <w:rtl/>
                <w:lang w:bidi="fa-IR"/>
              </w:rPr>
            </w:pPr>
            <w:r w:rsidRPr="006E4561">
              <w:rPr>
                <w:rFonts w:cs="B Zar" w:hint="cs"/>
                <w:rtl/>
                <w:lang w:bidi="fa-IR"/>
              </w:rPr>
              <w:t xml:space="preserve">حساسیت سرمایه گذاری </w:t>
            </w:r>
            <w:r w:rsidRPr="006E4561">
              <w:rPr>
                <w:rFonts w:hint="cs"/>
                <w:rtl/>
                <w:lang w:bidi="fa-IR"/>
              </w:rPr>
              <w:t>–</w:t>
            </w:r>
            <w:r w:rsidRPr="006E4561">
              <w:rPr>
                <w:rFonts w:cs="B Zar" w:hint="cs"/>
                <w:rtl/>
                <w:lang w:bidi="fa-IR"/>
              </w:rPr>
              <w:t>جریان وجوه نقد ودیگر عوامل موثربرتصمیمات سرمایه گذاری</w:t>
            </w: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5D" w:rsidRDefault="00120B5D" w:rsidP="0063545A">
      <w:pPr>
        <w:spacing w:line="240" w:lineRule="auto"/>
      </w:pPr>
      <w:r>
        <w:separator/>
      </w:r>
    </w:p>
  </w:endnote>
  <w:endnote w:type="continuationSeparator" w:id="0">
    <w:p w:rsidR="00120B5D" w:rsidRDefault="00120B5D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5D" w:rsidRDefault="00120B5D" w:rsidP="0063545A">
      <w:pPr>
        <w:spacing w:line="240" w:lineRule="auto"/>
      </w:pPr>
      <w:r>
        <w:separator/>
      </w:r>
    </w:p>
  </w:footnote>
  <w:footnote w:type="continuationSeparator" w:id="0">
    <w:p w:rsidR="00120B5D" w:rsidRDefault="00120B5D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9A2"/>
    <w:multiLevelType w:val="hybridMultilevel"/>
    <w:tmpl w:val="FF920D54"/>
    <w:lvl w:ilvl="0" w:tplc="DC2AFB08">
      <w:start w:val="1"/>
      <w:numFmt w:val="decimal"/>
      <w:lvlText w:val="%1-"/>
      <w:lvlJc w:val="left"/>
      <w:pPr>
        <w:ind w:left="736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2A8F"/>
    <w:rsid w:val="00026CFD"/>
    <w:rsid w:val="000473EA"/>
    <w:rsid w:val="00073DF0"/>
    <w:rsid w:val="0007794A"/>
    <w:rsid w:val="00084CE8"/>
    <w:rsid w:val="000E0A31"/>
    <w:rsid w:val="000F6DFB"/>
    <w:rsid w:val="00120B5D"/>
    <w:rsid w:val="00131097"/>
    <w:rsid w:val="00136383"/>
    <w:rsid w:val="0014089E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E1BD4"/>
    <w:rsid w:val="003E3493"/>
    <w:rsid w:val="003F4D5B"/>
    <w:rsid w:val="00404EDD"/>
    <w:rsid w:val="00405F14"/>
    <w:rsid w:val="00431497"/>
    <w:rsid w:val="00445B23"/>
    <w:rsid w:val="0046024D"/>
    <w:rsid w:val="0046475A"/>
    <w:rsid w:val="00465487"/>
    <w:rsid w:val="0049591B"/>
    <w:rsid w:val="00496B80"/>
    <w:rsid w:val="004B37B6"/>
    <w:rsid w:val="004C3228"/>
    <w:rsid w:val="004C64FB"/>
    <w:rsid w:val="004E4DF1"/>
    <w:rsid w:val="00522BB8"/>
    <w:rsid w:val="00525AE8"/>
    <w:rsid w:val="00535682"/>
    <w:rsid w:val="0058111D"/>
    <w:rsid w:val="00583211"/>
    <w:rsid w:val="00591865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A2D7B"/>
    <w:rsid w:val="006B25CA"/>
    <w:rsid w:val="006E4561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47D24"/>
    <w:rsid w:val="00852B53"/>
    <w:rsid w:val="00862851"/>
    <w:rsid w:val="0086707E"/>
    <w:rsid w:val="00882C20"/>
    <w:rsid w:val="008B08D1"/>
    <w:rsid w:val="0093689B"/>
    <w:rsid w:val="00943CE6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840E1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92CAE"/>
    <w:rsid w:val="00DA18C1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288F-DA02-46C9-BDAF-CCC232D6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2014-04-24T07:37:00Z</cp:lastPrinted>
  <dcterms:created xsi:type="dcterms:W3CDTF">2016-03-05T12:25:00Z</dcterms:created>
  <dcterms:modified xsi:type="dcterms:W3CDTF">2016-03-05T12:25:00Z</dcterms:modified>
</cp:coreProperties>
</file>