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74" w:type="dxa"/>
        <w:tblInd w:w="-788" w:type="dxa"/>
        <w:tblLayout w:type="fixed"/>
        <w:tblLook w:val="04A0"/>
      </w:tblPr>
      <w:tblGrid>
        <w:gridCol w:w="10774"/>
      </w:tblGrid>
      <w:tr w:rsidR="00A548C4" w:rsidRPr="00800098" w:rsidTr="00EA3E1B">
        <w:trPr>
          <w:cantSplit/>
          <w:trHeight w:hRule="exact" w:val="57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A548C4" w:rsidRPr="00800098" w:rsidRDefault="00A548C4" w:rsidP="00A548C4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عناوین پایان</w:t>
            </w:r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Pr="00800098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Pr="0080009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800098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Pr="0080009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حسابداری و حسابرسی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00098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98</w:t>
            </w:r>
          </w:p>
        </w:tc>
      </w:tr>
      <w:tr w:rsidR="00A548C4" w:rsidRPr="00800098" w:rsidTr="00EA3E1B">
        <w:trPr>
          <w:trHeight w:hRule="exact" w:val="85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رابطه بین پرداخت پاداش و تقلب در ارائه گزارشات مالی در شرکت های پذیرفته شده در بورس اوراق بهادار تهران با توجه به نقش تلاش های حسابرس</w:t>
            </w:r>
          </w:p>
        </w:tc>
      </w:tr>
      <w:tr w:rsidR="00A548C4" w:rsidRPr="00800098" w:rsidTr="00EA3E1B">
        <w:trPr>
          <w:trHeight w:hRule="exact" w:val="491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گزارش داوطلبانه کنترل داخلی بر کیفیت سود با توجه به نقش بحران مالی در شرکت های پذیرفته شده در بورس اوراق</w:t>
            </w:r>
          </w:p>
        </w:tc>
      </w:tr>
      <w:tr w:rsidR="00A548C4" w:rsidRPr="00800098" w:rsidTr="00EA3E1B">
        <w:trPr>
          <w:trHeight w:hRule="exact" w:val="44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عدم اطمینان سیاست های اقتصادی و گردش مالی توسط مدیران اجرایی در شرکت های پذیرفته شده در بورس اوراق</w:t>
            </w:r>
          </w:p>
        </w:tc>
      </w:tr>
      <w:tr w:rsidR="00A548C4" w:rsidRPr="00800098" w:rsidTr="00EA3E1B">
        <w:trPr>
          <w:trHeight w:hRule="exact" w:val="495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بررسي نقش تعديلي كيفيت حسابرسي بر رابطه بين گزارشگري حسابرس و مديريت سود تعهدی</w:t>
            </w:r>
          </w:p>
        </w:tc>
      </w:tr>
      <w:tr w:rsidR="00A548C4" w:rsidRPr="00800098" w:rsidTr="00EA3E1B">
        <w:trPr>
          <w:trHeight w:hRule="exact" w:val="53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تاثير تفاوت در نوع حسابرس بر رابطه بين حق الزحمه حسابرسي و مديريت سود شرکتهای پذیرفته شده  در بورس اوراق بهادار تهران</w:t>
            </w:r>
          </w:p>
        </w:tc>
      </w:tr>
      <w:tr w:rsidR="00A548C4" w:rsidRPr="00800098" w:rsidTr="00EA3E1B">
        <w:trPr>
          <w:trHeight w:hRule="exact" w:val="451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تغییر در تلاش حسابرسان بر تغییرات در اظهار نظر آنها در شرکتهاي پذیرفته شده در بورس اوراق بهادار تهران</w:t>
            </w:r>
          </w:p>
        </w:tc>
      </w:tr>
      <w:tr w:rsidR="00A548C4" w:rsidRPr="00800098" w:rsidTr="00EA3E1B">
        <w:trPr>
          <w:trHeight w:hRule="exact" w:val="894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عملکرد حسابرسی داخلی و کمیته حسابرسی بر کیفیت گزارشگری با نقش تعدیل‌گری قدرت مدیریت در شرکت‌های غذایی پذیرفته شده در بورس اوراق بهادار تهران.</w:t>
            </w:r>
          </w:p>
        </w:tc>
      </w:tr>
      <w:tr w:rsidR="00A548C4" w:rsidRPr="00800098" w:rsidTr="00EA3E1B">
        <w:trPr>
          <w:trHeight w:hRule="exact" w:val="505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کیفیت حسابرسی و قدرت مدیر عامل بر بازدهی سهام با نقش میانجی  شفافیت گزارشگری مالی در شرکت های خودرویی پذیرفته شده در بورس اوراق بهادار.</w:t>
            </w:r>
          </w:p>
        </w:tc>
      </w:tr>
      <w:tr w:rsidR="00A548C4" w:rsidRPr="00800098" w:rsidTr="00EA3E1B">
        <w:trPr>
          <w:trHeight w:hRule="exact" w:val="438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پیش بینی بحران مالی با استفاده از سازوکارهای راهبری شرکتی با توجه به نقش گزارشگری مالی در شرکت‌های پذیرفته‌شده در بورس</w:t>
            </w:r>
          </w:p>
        </w:tc>
      </w:tr>
      <w:tr w:rsidR="00A548C4" w:rsidRPr="00800098" w:rsidTr="00EA3E1B">
        <w:trPr>
          <w:trHeight w:hRule="exact" w:val="44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ارتباط بین مخارج تحقیق و توسعه بر بازدهی سهام شرکت های پذیرفته شده در بورس اوراق بهادار تهران</w:t>
            </w:r>
          </w:p>
        </w:tc>
      </w:tr>
      <w:tr w:rsidR="00A548C4" w:rsidRPr="00800098" w:rsidTr="00EA3E1B">
        <w:trPr>
          <w:trHeight w:hRule="exact" w:val="460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قیمت نفت بر مدیریت سود تعهدی شرکت‌های نفتی بورس اوراق بهادار تهران  با توجه به نقش کیفیت حسابرسی</w:t>
            </w:r>
          </w:p>
        </w:tc>
      </w:tr>
      <w:tr w:rsidR="00A548C4" w:rsidRPr="00800098" w:rsidTr="00EA3E1B">
        <w:trPr>
          <w:trHeight w:hRule="exact" w:val="88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افشای کنترل داخلی بر مدیریت سود با توجه به نقش تعدیلگر آشفتگی مالی در شرکت‌های پذیرفته‌شده در بورس اوراق بهادار تهران</w:t>
            </w:r>
          </w:p>
        </w:tc>
      </w:tr>
      <w:tr w:rsidR="00A548C4" w:rsidRPr="00800098" w:rsidTr="00EA3E1B">
        <w:trPr>
          <w:trHeight w:hRule="exact" w:val="468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مکانیزم راهبری شرکتی بر تطابق پذیری با مقررات گزارشگری مالی در شرکتهای پذیرفته شده در بورس اوراق بهادار تهران</w:t>
            </w:r>
          </w:p>
        </w:tc>
      </w:tr>
      <w:tr w:rsidR="00A548C4" w:rsidRPr="00800098" w:rsidTr="00EA3E1B">
        <w:trPr>
          <w:trHeight w:hRule="exact" w:val="836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فعالیت در رسانه های اجتماعی و ضعف حاکمیت شرکتی بر پاداش پرداختی به مدیران در شرکت‌های پذیرفته‌شده در بورس اوراق بهادار تهران</w:t>
            </w:r>
          </w:p>
        </w:tc>
      </w:tr>
      <w:tr w:rsidR="00A548C4" w:rsidRPr="00800098" w:rsidTr="00EA3E1B">
        <w:trPr>
          <w:trHeight w:hRule="exact" w:val="861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تاثیر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تحصیلات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مدیران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عامل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نگهداشت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وجه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نقد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شرکتهاي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پذیرفته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شده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بورس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اوراق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بهادار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تهران در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 شرکتهاي پذیرفته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شده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بورس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اوراق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بهادار</w:t>
            </w:r>
            <w:r w:rsidRPr="00A548C4">
              <w:rPr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تهران</w:t>
            </w:r>
          </w:p>
        </w:tc>
      </w:tr>
      <w:tr w:rsidR="00A548C4" w:rsidRPr="00800098" w:rsidTr="00EA3E1B">
        <w:trPr>
          <w:trHeight w:hRule="exact" w:val="406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تاثیر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نوسانات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سود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تاخیر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ارائه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گزارشات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مالی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و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حق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الزحمه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حسابرسی در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شرکتهاي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پذیرفته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شده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بورس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اوراق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بهادار</w:t>
            </w:r>
            <w:r w:rsidRPr="00A548C4">
              <w:rPr>
                <w:rFonts w:ascii="Arial" w:hAnsi="Arial" w:cs="Arial"/>
                <w:color w:val="000000"/>
                <w:sz w:val="26"/>
                <w:szCs w:val="26"/>
                <w:rtl/>
              </w:rPr>
              <w:t xml:space="preserve"> </w:t>
            </w: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تهران</w:t>
            </w:r>
          </w:p>
        </w:tc>
      </w:tr>
      <w:tr w:rsidR="00A548C4" w:rsidRPr="00800098" w:rsidTr="00EA3E1B">
        <w:trPr>
          <w:trHeight w:hRule="exact" w:val="420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رابطه بین نرخ رشد ، ریسک سیستماتیک و هزینه سرمایه ای در بورس اوراق بهادار تهران</w:t>
            </w:r>
          </w:p>
        </w:tc>
      </w:tr>
      <w:tr w:rsidR="00A548C4" w:rsidRPr="00800098" w:rsidTr="00EA3E1B">
        <w:trPr>
          <w:trHeight w:hRule="exact" w:val="993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ویژگی هاي هیئت مدیره بر کارایی سرمایه گذاري شرکت با توجه به نقش کیفیت گزارشات مالی در شرکتهاي پذیرفته شده در بورس اوراق بهادار تهران</w:t>
            </w:r>
          </w:p>
        </w:tc>
      </w:tr>
      <w:tr w:rsidR="00A548C4" w:rsidRPr="00800098" w:rsidTr="00EA3E1B">
        <w:trPr>
          <w:trHeight w:hRule="exact" w:val="852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افشاي کنترل داخلی بر نگهداشت وجه نقد با توجه به نقش مدیریت ریسک در شرکت هاي پذیرفته شده در بورس اوراق بهادار تهران</w:t>
            </w:r>
          </w:p>
        </w:tc>
      </w:tr>
      <w:tr w:rsidR="00A548C4" w:rsidRPr="00800098" w:rsidTr="00EA3E1B">
        <w:trPr>
          <w:trHeight w:hRule="exact" w:val="556"/>
        </w:trPr>
        <w:tc>
          <w:tcPr>
            <w:tcW w:w="10774" w:type="dxa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بررسی تاثیر ارتباطات سیاسی بر کیفیت گزارشگری مالی با توجه به نقش تعدیلی توانایی مدیریت</w:t>
            </w:r>
          </w:p>
        </w:tc>
      </w:tr>
      <w:tr w:rsidR="00A548C4" w:rsidRPr="00800098" w:rsidTr="00EA3E1B">
        <w:trPr>
          <w:trHeight w:hRule="exact" w:val="434"/>
        </w:trPr>
        <w:tc>
          <w:tcPr>
            <w:tcW w:w="10774" w:type="dxa"/>
            <w:vAlign w:val="bottom"/>
          </w:tcPr>
          <w:p w:rsidR="00A548C4" w:rsidRPr="00A548C4" w:rsidRDefault="00A548C4" w:rsidP="00EA3E1B">
            <w:pPr>
              <w:bidi/>
              <w:ind w:left="40" w:hanging="40"/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A548C4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تأثیرمسئولیت اجتماعی برعملکردرقابتی بانقش واسطهای قدرت رقابتی درشرکت های پذیرفته شده دربورس اوراق بهادارتهران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881" w:type="dxa"/>
        <w:tblLook w:val="04A0"/>
      </w:tblPr>
      <w:tblGrid>
        <w:gridCol w:w="10881"/>
      </w:tblGrid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رابطه بین ساختار مالکیت بانکی و پویایی استقراض در نظام بانکی ایران</w:t>
            </w:r>
          </w:p>
        </w:tc>
      </w:tr>
      <w:tr w:rsidR="00EA3E1B" w:rsidRPr="00EA3E1B" w:rsidTr="00EA3E1B">
        <w:trPr>
          <w:trHeight w:val="84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نقش میانجی اهرم مالی بر رابطه ویژگی های هییت مدیره و سیاست پرداخت سود سهام در شرکت های پذیرفته شده در بورس اوراق بهادر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حمایت از مدیر بر ارزش  و ریسک شرکت های پذیرفته شده در بورس اوراق بهادار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شفافیت جریان نقدینگی عملیاتی و ریسک سقوط قیمت سهام در شرکت های پذیرفته شده در بورس اوراق بهادر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رابطه بین کیفیت کنترل های داخلی و مدیریت ریسک با نگهداشت وجه نقد در شرکت های پذیرفته شده در بورس اوراق بهادر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lastRenderedPageBreak/>
              <w:t>بررسی تاثیر نامطلوب کیفیت حسابرسی بر نوآوری در شرکت های پذیرفته شده در بورس اوراق بهادار تهران با توجه به نقش مالکان نهادی</w:t>
            </w:r>
          </w:p>
        </w:tc>
      </w:tr>
      <w:tr w:rsidR="00EA3E1B" w:rsidRPr="00EA3E1B" w:rsidTr="00EA3E1B">
        <w:trPr>
          <w:trHeight w:val="525"/>
        </w:trPr>
        <w:tc>
          <w:tcPr>
            <w:tcW w:w="10881" w:type="dxa"/>
            <w:vMerge w:val="restart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رابطه بین ریسک مالی با ذخیره نقدی و محدودیت های مالی شرکت های پذیرفته شده در بورس اوراق بهادار تهران</w:t>
            </w:r>
          </w:p>
        </w:tc>
      </w:tr>
      <w:tr w:rsidR="00EA3E1B" w:rsidRPr="00EA3E1B" w:rsidTr="00EA3E1B">
        <w:trPr>
          <w:trHeight w:val="300"/>
        </w:trPr>
        <w:tc>
          <w:tcPr>
            <w:tcW w:w="10881" w:type="dxa"/>
            <w:vMerge/>
            <w:hideMark/>
          </w:tcPr>
          <w:p w:rsidR="00EA3E1B" w:rsidRPr="00EA3E1B" w:rsidRDefault="00EA3E1B" w:rsidP="00EA3E1B">
            <w:pPr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</w:p>
        </w:tc>
      </w:tr>
      <w:tr w:rsidR="00EA3E1B" w:rsidRPr="00EA3E1B" w:rsidTr="00EA3E1B">
        <w:trPr>
          <w:trHeight w:val="525"/>
        </w:trPr>
        <w:tc>
          <w:tcPr>
            <w:tcW w:w="10881" w:type="dxa"/>
            <w:vMerge w:val="restart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هزینه های حسابرسی بر کیفیت افشای اطلاعات در شرکت های پذیرفته شده در بورس اوراق بهادار تهران</w:t>
            </w:r>
          </w:p>
        </w:tc>
      </w:tr>
      <w:tr w:rsidR="00EA3E1B" w:rsidRPr="00EA3E1B" w:rsidTr="00EA3E1B">
        <w:trPr>
          <w:trHeight w:val="300"/>
        </w:trPr>
        <w:tc>
          <w:tcPr>
            <w:tcW w:w="10881" w:type="dxa"/>
            <w:vMerge/>
            <w:hideMark/>
          </w:tcPr>
          <w:p w:rsidR="00EA3E1B" w:rsidRPr="00EA3E1B" w:rsidRDefault="00EA3E1B" w:rsidP="00EA3E1B">
            <w:pPr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</w:p>
        </w:tc>
      </w:tr>
      <w:tr w:rsidR="00EA3E1B" w:rsidRPr="00EA3E1B" w:rsidTr="00EA3E1B">
        <w:trPr>
          <w:trHeight w:val="300"/>
        </w:trPr>
        <w:tc>
          <w:tcPr>
            <w:tcW w:w="10881" w:type="dxa"/>
            <w:vMerge w:val="restart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حاکمیت شرکتی بر رابطه بین افشای اطلاعات و ارزش اشرکت در شرکت های پذیرفته شده در بورس اوراق بهادار تهران</w:t>
            </w:r>
          </w:p>
        </w:tc>
      </w:tr>
      <w:tr w:rsidR="00EA3E1B" w:rsidRPr="00EA3E1B" w:rsidTr="00EA3E1B">
        <w:trPr>
          <w:trHeight w:val="300"/>
        </w:trPr>
        <w:tc>
          <w:tcPr>
            <w:tcW w:w="10881" w:type="dxa"/>
            <w:vMerge/>
            <w:hideMark/>
          </w:tcPr>
          <w:p w:rsidR="00EA3E1B" w:rsidRPr="00EA3E1B" w:rsidRDefault="00EA3E1B" w:rsidP="00EA3E1B">
            <w:pPr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</w:p>
        </w:tc>
      </w:tr>
      <w:tr w:rsidR="00EA3E1B" w:rsidRPr="00EA3E1B" w:rsidTr="00EA3E1B">
        <w:trPr>
          <w:trHeight w:val="525"/>
        </w:trPr>
        <w:tc>
          <w:tcPr>
            <w:tcW w:w="10881" w:type="dxa"/>
            <w:vMerge w:val="restart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ررسی نقش تعدیل کننده حاکمیت شرکتی بر رابطه بین حقوق مدیران و عملکرد آنها در شرکت  های پذیرفته شده در بورس اوراق بهادار</w:t>
            </w:r>
          </w:p>
        </w:tc>
      </w:tr>
      <w:tr w:rsidR="00EA3E1B" w:rsidRPr="00EA3E1B" w:rsidTr="00EA3E1B">
        <w:trPr>
          <w:trHeight w:val="300"/>
        </w:trPr>
        <w:tc>
          <w:tcPr>
            <w:tcW w:w="10881" w:type="dxa"/>
            <w:vMerge/>
            <w:hideMark/>
          </w:tcPr>
          <w:p w:rsidR="00EA3E1B" w:rsidRPr="00EA3E1B" w:rsidRDefault="00EA3E1B" w:rsidP="00EA3E1B">
            <w:pPr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 روابط اجتماعی اعضای هئیت مدیره و مدیر  عامل در محافظه کاری حسابداری بر اساس نقش میانجی کیفیت کنترل داخلی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عدم تقارن اطلاعاتی ، اندازه شرکت و مالکیت مدیریتی بر مدیریت سود شرکت های پذیرفته شده در بورس اوراق بهادر تهران</w:t>
            </w:r>
          </w:p>
        </w:tc>
      </w:tr>
      <w:tr w:rsidR="00EA3E1B" w:rsidRPr="00EA3E1B" w:rsidTr="00EA3E1B">
        <w:trPr>
          <w:trHeight w:val="293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نقش پایداری مالی و گنجایش  مالی در رابطه مسولیت اجتماعی و عملکرد مالی ، بانک های پذیرفته شده در بورس اوراق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تاثیرات تعهدی در تعاملات درون و برون سازمانی در موسسات تحقیقات کشاورزی استان البرز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مسولیت پذیری اجتماعی شرکت بر گرایش به امپراطوری  سازی با توجه به نقش بیش اطمینانی مدیر عامل</w:t>
            </w:r>
          </w:p>
        </w:tc>
      </w:tr>
      <w:tr w:rsidR="00EA3E1B" w:rsidRPr="00EA3E1B" w:rsidTr="00EA3E1B">
        <w:trPr>
          <w:trHeight w:val="367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 مسئولیت اجتماعی بر عملکرد مالی، پایداری مالی و گنجایش مالی بانک‌ها‌</w:t>
            </w:r>
          </w:p>
        </w:tc>
      </w:tr>
      <w:tr w:rsidR="00EA3E1B" w:rsidRPr="00EA3E1B" w:rsidTr="00EA3E1B">
        <w:trPr>
          <w:trHeight w:val="293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 اطمینان بیش از حد مدیر عامل بر ناکارایی سرمایه گذاری در منابع انسانی شرکت های پذیرفته شده  بورس اوراق بهادار تهران</w:t>
            </w:r>
          </w:p>
        </w:tc>
      </w:tr>
      <w:tr w:rsidR="00EA3E1B" w:rsidRPr="00EA3E1B" w:rsidTr="00EA3E1B">
        <w:trPr>
          <w:trHeight w:val="398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نقش انتخاب حسابرس و هزینه حسابرسی بررابطه مسئولیت پذیري اجتماعی وقرارداد حسابرس درشرکتهاي پذیرفته در بورس اوراق بهادارتهران</w:t>
            </w:r>
          </w:p>
        </w:tc>
      </w:tr>
      <w:tr w:rsidR="00EA3E1B" w:rsidRPr="00EA3E1B" w:rsidTr="00EA3E1B">
        <w:trPr>
          <w:trHeight w:val="84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سرمایه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گذاری،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گردش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وجوه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نقد،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مدیریت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سود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نسبت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پوشش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بهره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درماندگی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مالی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در شرکتهای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پذیرفته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شده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بورس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اوراق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بهادار</w:t>
            </w:r>
            <w:r w:rsidRPr="00EA3E1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تهران</w:t>
            </w:r>
          </w:p>
        </w:tc>
      </w:tr>
      <w:tr w:rsidR="00EA3E1B" w:rsidRPr="00EA3E1B" w:rsidTr="00EA3E1B">
        <w:trPr>
          <w:trHeight w:val="293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سازوکارهای حاکمیت شرکتی بر اهرم مالی با توجه به نقش مقیاس شرکت در شرکتهای پذیرفته شده در بورس اوراق بهادار تهران</w:t>
            </w:r>
          </w:p>
        </w:tc>
      </w:tr>
      <w:tr w:rsidR="00EA3E1B" w:rsidRPr="00EA3E1B" w:rsidTr="00EA3E1B">
        <w:trPr>
          <w:trHeight w:val="293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تاثیرفرار مالیاتی بر انتخاب حسابرس با توجه به نقش تعدیلگر سرمایه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cs/>
                <w:lang w:bidi="ar-SA"/>
              </w:rPr>
              <w:t>‎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گذاری در شرکتهای پذیرفته شده در بورس اوراق بهادار تهران</w:t>
            </w:r>
          </w:p>
        </w:tc>
      </w:tr>
      <w:tr w:rsidR="00EA3E1B" w:rsidRPr="00EA3E1B" w:rsidTr="00EA3E1B">
        <w:trPr>
          <w:trHeight w:val="84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 تاثیر مسئولیت اجتماعی بر ثبات مالی،  عملکرد مالی  و شمول مالی در شرکت های پذیرفته شده در بورس اوراق بهادار تهران(مطالعه موردی بانکهای پذیرفته در بورس)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 سرمایه گذاران نهادی بر هزینه سرمایه با نقش تعدیل کننده اثر ساختار مالکیت در شرکتهای پذیرفته شده در بورس اوراق بهادار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نقش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تعدیلگر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کیفیت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حسابرسی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ارتباط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بین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گزارش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حسابرسی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مدیریت</w:t>
            </w:r>
            <w:r w:rsidRPr="00EA3E1B">
              <w:rPr>
                <w:rFonts w:ascii="Calibri" w:eastAsia="Times New Roman" w:hAnsi="Calibri" w:cs="BZar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سود</w:t>
            </w:r>
          </w:p>
        </w:tc>
      </w:tr>
      <w:tr w:rsidR="00EA3E1B" w:rsidRPr="00EA3E1B" w:rsidTr="00EA3E1B">
        <w:trPr>
          <w:trHeight w:val="302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ارتباطات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سیاسی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مدیران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قرارداد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بین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شرکت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و</w:t>
            </w:r>
            <w:r w:rsidRPr="00EA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حسابرس در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شرکتهاي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پذیرفته شده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در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بورس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اوراق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بهادار</w:t>
            </w:r>
            <w:r w:rsidRPr="00EA3E1B"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تاثیر عدم اطمینان سیاست اقتصادی بر تصمیمات سرمایه گذاری نیروی انسانی شرکت های پذیرفته شده در بورس اوراق بهادر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ارتباط بین عدم اطمینان سیاست اقتصادی و سود تقسیمی در شرکت های پذیرفته شده در بورس اوراق بهادر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تاثیر نفوذ سهامداران فعال بر تصمیمات مدیران و سود تقسیمی شرکتهای پذیرفته شده در بورس اوراق بهادار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تأثیر مدیریت سود بر رابطه محافظه کاری حسابداری و خطر ورشکستگی در شرکت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softHyphen/>
              <w:t>های پذیرفته شده در بورس اوراق بهادار تهران</w:t>
            </w:r>
          </w:p>
        </w:tc>
      </w:tr>
      <w:tr w:rsidR="00EA3E1B" w:rsidRPr="00EA3E1B" w:rsidTr="00EA3E1B">
        <w:trPr>
          <w:trHeight w:val="435"/>
        </w:trPr>
        <w:tc>
          <w:tcPr>
            <w:tcW w:w="10881" w:type="dxa"/>
            <w:noWrap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تاثیرتحقیق و توسعه بر ارزش شرکتهای داری محدودیت مالی با توجه به نقش تعدیلگر سیاست تقسیم سود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noWrap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 تأثیرامورمالی بررابطه کیفیت ارائه خدمات و عملکرد در شعب بانک سپه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انعطاف پذیری مالی بر عملکرد شرکتهای پذیرفته شده در بورس اوراق بهادار تهران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noWrap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بررسی رابطه بین افشای مسولیت اجتماعی شرکت و کیفیت گزارشگری مالی(شرکت های پذیرفته شده در بورس اوراق بهادر)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sz w:val="24"/>
                <w:szCs w:val="24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ar-SA"/>
              </w:rPr>
              <w:t>بررسی تاثیر ویژگیهای چهارگانه اعضای کمیته حسابرسی بر بروز تقلب مالی با توجه به نقش تطابق پذیري با مقررات گزارشگري مالی</w:t>
            </w:r>
          </w:p>
        </w:tc>
      </w:tr>
      <w:tr w:rsidR="00EA3E1B" w:rsidRPr="00EA3E1B" w:rsidTr="00EA3E1B">
        <w:trPr>
          <w:trHeight w:val="420"/>
        </w:trPr>
        <w:tc>
          <w:tcPr>
            <w:tcW w:w="10881" w:type="dxa"/>
            <w:noWrap/>
            <w:hideMark/>
          </w:tcPr>
          <w:p w:rsidR="00EA3E1B" w:rsidRPr="00EA3E1B" w:rsidRDefault="00EA3E1B" w:rsidP="00EA3E1B">
            <w:pPr>
              <w:bidi/>
              <w:ind w:left="0" w:firstLine="0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EA3E1B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بررسی تأثیر ریسک مالی بر دارایی و ادغام و ترکیب سهامداران شرکتهای پذیرفته شده در بورس اوراق بهادار تهران</w:t>
            </w: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sectPr w:rsidR="00D57B0C" w:rsidSect="009A08B3">
      <w:headerReference w:type="default" r:id="rId8"/>
      <w:pgSz w:w="11907" w:h="16839" w:code="9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B0" w:rsidRDefault="00AF00B0" w:rsidP="0063545A">
      <w:pPr>
        <w:spacing w:line="240" w:lineRule="auto"/>
      </w:pPr>
      <w:r>
        <w:separator/>
      </w:r>
    </w:p>
  </w:endnote>
  <w:endnote w:type="continuationSeparator" w:id="1">
    <w:p w:rsidR="00AF00B0" w:rsidRDefault="00AF00B0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B0" w:rsidRDefault="00AF00B0" w:rsidP="0063545A">
      <w:pPr>
        <w:spacing w:line="240" w:lineRule="auto"/>
      </w:pPr>
      <w:r>
        <w:separator/>
      </w:r>
    </w:p>
  </w:footnote>
  <w:footnote w:type="continuationSeparator" w:id="1">
    <w:p w:rsidR="00AF00B0" w:rsidRDefault="00AF00B0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A5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59B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20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9C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E67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37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0B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4047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2DC7"/>
    <w:multiLevelType w:val="hybridMultilevel"/>
    <w:tmpl w:val="E1C4BED4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6025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4AD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766"/>
    <w:multiLevelType w:val="hybridMultilevel"/>
    <w:tmpl w:val="93D0F98E"/>
    <w:lvl w:ilvl="0" w:tplc="00CCF2C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Za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424A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52B9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391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129F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677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21D3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4C2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4404D"/>
    <w:multiLevelType w:val="hybridMultilevel"/>
    <w:tmpl w:val="7FB277FA"/>
    <w:lvl w:ilvl="0" w:tplc="370066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E2808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C6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529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D2345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F3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75EA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E4E86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4297"/>
    <w:multiLevelType w:val="hybridMultilevel"/>
    <w:tmpl w:val="F1CA56A8"/>
    <w:lvl w:ilvl="0" w:tplc="25BE4F84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0">
    <w:nsid w:val="5AF93D7E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16AC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B7465"/>
    <w:multiLevelType w:val="hybridMultilevel"/>
    <w:tmpl w:val="52EECAA8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D87DC4"/>
    <w:multiLevelType w:val="hybridMultilevel"/>
    <w:tmpl w:val="03EA7258"/>
    <w:lvl w:ilvl="0" w:tplc="6220DA8E">
      <w:start w:val="1"/>
      <w:numFmt w:val="decimal"/>
      <w:lvlText w:val="%1-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B6E58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28F4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361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9048E"/>
    <w:multiLevelType w:val="hybridMultilevel"/>
    <w:tmpl w:val="C33EB632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0647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62F1E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76CAC"/>
    <w:multiLevelType w:val="hybridMultilevel"/>
    <w:tmpl w:val="1AA22E1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D5407"/>
    <w:multiLevelType w:val="hybridMultilevel"/>
    <w:tmpl w:val="D3ECAA40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B7164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5437C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5">
    <w:nsid w:val="7FF70DC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4"/>
  </w:num>
  <w:num w:numId="4">
    <w:abstractNumId w:val="24"/>
  </w:num>
  <w:num w:numId="5">
    <w:abstractNumId w:val="5"/>
  </w:num>
  <w:num w:numId="6">
    <w:abstractNumId w:val="34"/>
  </w:num>
  <w:num w:numId="7">
    <w:abstractNumId w:val="22"/>
  </w:num>
  <w:num w:numId="8">
    <w:abstractNumId w:val="36"/>
  </w:num>
  <w:num w:numId="9">
    <w:abstractNumId w:val="10"/>
  </w:num>
  <w:num w:numId="10">
    <w:abstractNumId w:val="0"/>
  </w:num>
  <w:num w:numId="11">
    <w:abstractNumId w:val="8"/>
  </w:num>
  <w:num w:numId="12">
    <w:abstractNumId w:val="42"/>
  </w:num>
  <w:num w:numId="13">
    <w:abstractNumId w:val="1"/>
  </w:num>
  <w:num w:numId="14">
    <w:abstractNumId w:val="15"/>
  </w:num>
  <w:num w:numId="15">
    <w:abstractNumId w:val="21"/>
  </w:num>
  <w:num w:numId="16">
    <w:abstractNumId w:val="45"/>
  </w:num>
  <w:num w:numId="17">
    <w:abstractNumId w:val="14"/>
  </w:num>
  <w:num w:numId="18">
    <w:abstractNumId w:val="18"/>
  </w:num>
  <w:num w:numId="19">
    <w:abstractNumId w:val="23"/>
  </w:num>
  <w:num w:numId="20">
    <w:abstractNumId w:val="31"/>
  </w:num>
  <w:num w:numId="21">
    <w:abstractNumId w:val="27"/>
  </w:num>
  <w:num w:numId="22">
    <w:abstractNumId w:val="26"/>
  </w:num>
  <w:num w:numId="23">
    <w:abstractNumId w:val="4"/>
  </w:num>
  <w:num w:numId="24">
    <w:abstractNumId w:val="11"/>
  </w:num>
  <w:num w:numId="25">
    <w:abstractNumId w:val="2"/>
  </w:num>
  <w:num w:numId="26">
    <w:abstractNumId w:val="19"/>
  </w:num>
  <w:num w:numId="27">
    <w:abstractNumId w:val="30"/>
  </w:num>
  <w:num w:numId="28">
    <w:abstractNumId w:val="17"/>
  </w:num>
  <w:num w:numId="29">
    <w:abstractNumId w:val="6"/>
  </w:num>
  <w:num w:numId="30">
    <w:abstractNumId w:val="38"/>
  </w:num>
  <w:num w:numId="31">
    <w:abstractNumId w:val="13"/>
  </w:num>
  <w:num w:numId="32">
    <w:abstractNumId w:val="35"/>
  </w:num>
  <w:num w:numId="33">
    <w:abstractNumId w:val="25"/>
  </w:num>
  <w:num w:numId="34">
    <w:abstractNumId w:val="39"/>
  </w:num>
  <w:num w:numId="35">
    <w:abstractNumId w:val="43"/>
  </w:num>
  <w:num w:numId="36">
    <w:abstractNumId w:val="3"/>
  </w:num>
  <w:num w:numId="37">
    <w:abstractNumId w:val="16"/>
  </w:num>
  <w:num w:numId="38">
    <w:abstractNumId w:val="40"/>
  </w:num>
  <w:num w:numId="39">
    <w:abstractNumId w:val="37"/>
  </w:num>
  <w:num w:numId="40">
    <w:abstractNumId w:val="32"/>
  </w:num>
  <w:num w:numId="41">
    <w:abstractNumId w:val="9"/>
  </w:num>
  <w:num w:numId="42">
    <w:abstractNumId w:val="41"/>
  </w:num>
  <w:num w:numId="43">
    <w:abstractNumId w:val="29"/>
  </w:num>
  <w:num w:numId="44">
    <w:abstractNumId w:val="33"/>
  </w:num>
  <w:num w:numId="45">
    <w:abstractNumId w:val="1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87EA4"/>
    <w:rsid w:val="000D4CDC"/>
    <w:rsid w:val="000E0A31"/>
    <w:rsid w:val="000F6DFB"/>
    <w:rsid w:val="00113404"/>
    <w:rsid w:val="00131097"/>
    <w:rsid w:val="00136383"/>
    <w:rsid w:val="0014089E"/>
    <w:rsid w:val="00180734"/>
    <w:rsid w:val="001C42BC"/>
    <w:rsid w:val="001D577E"/>
    <w:rsid w:val="002016A2"/>
    <w:rsid w:val="00214035"/>
    <w:rsid w:val="00235896"/>
    <w:rsid w:val="00256CE4"/>
    <w:rsid w:val="0027414C"/>
    <w:rsid w:val="00280760"/>
    <w:rsid w:val="002A25FD"/>
    <w:rsid w:val="002A7B7A"/>
    <w:rsid w:val="002B5F6D"/>
    <w:rsid w:val="002C7217"/>
    <w:rsid w:val="002C7C01"/>
    <w:rsid w:val="002F441A"/>
    <w:rsid w:val="002F465B"/>
    <w:rsid w:val="00300616"/>
    <w:rsid w:val="003072A6"/>
    <w:rsid w:val="003601E8"/>
    <w:rsid w:val="00367CFA"/>
    <w:rsid w:val="003E1BD4"/>
    <w:rsid w:val="003E3493"/>
    <w:rsid w:val="003F4D5B"/>
    <w:rsid w:val="003F7853"/>
    <w:rsid w:val="00404EDD"/>
    <w:rsid w:val="00405F14"/>
    <w:rsid w:val="00431497"/>
    <w:rsid w:val="00445B23"/>
    <w:rsid w:val="004573DC"/>
    <w:rsid w:val="0046024D"/>
    <w:rsid w:val="00465487"/>
    <w:rsid w:val="0049591B"/>
    <w:rsid w:val="00496B80"/>
    <w:rsid w:val="004B3265"/>
    <w:rsid w:val="004B37B6"/>
    <w:rsid w:val="004C3228"/>
    <w:rsid w:val="004C64FB"/>
    <w:rsid w:val="004D67D6"/>
    <w:rsid w:val="004E4DF1"/>
    <w:rsid w:val="004F0739"/>
    <w:rsid w:val="0051789A"/>
    <w:rsid w:val="00522BB8"/>
    <w:rsid w:val="00525AE8"/>
    <w:rsid w:val="00526C38"/>
    <w:rsid w:val="00533240"/>
    <w:rsid w:val="00535682"/>
    <w:rsid w:val="0058111D"/>
    <w:rsid w:val="00583211"/>
    <w:rsid w:val="00591865"/>
    <w:rsid w:val="0059239B"/>
    <w:rsid w:val="005941A3"/>
    <w:rsid w:val="005C30F8"/>
    <w:rsid w:val="005E124E"/>
    <w:rsid w:val="005E613D"/>
    <w:rsid w:val="0063545A"/>
    <w:rsid w:val="00635C94"/>
    <w:rsid w:val="00656620"/>
    <w:rsid w:val="006627E9"/>
    <w:rsid w:val="0066559D"/>
    <w:rsid w:val="00693260"/>
    <w:rsid w:val="006949BB"/>
    <w:rsid w:val="00695577"/>
    <w:rsid w:val="006A2D7B"/>
    <w:rsid w:val="006A3535"/>
    <w:rsid w:val="006B25CA"/>
    <w:rsid w:val="006B5570"/>
    <w:rsid w:val="006F0F91"/>
    <w:rsid w:val="00705B26"/>
    <w:rsid w:val="0072324A"/>
    <w:rsid w:val="00736966"/>
    <w:rsid w:val="00783519"/>
    <w:rsid w:val="007860D0"/>
    <w:rsid w:val="007948B7"/>
    <w:rsid w:val="007C3F5F"/>
    <w:rsid w:val="007E23F1"/>
    <w:rsid w:val="00800098"/>
    <w:rsid w:val="008066CC"/>
    <w:rsid w:val="0083203D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92A7D"/>
    <w:rsid w:val="0099482B"/>
    <w:rsid w:val="00996EE5"/>
    <w:rsid w:val="009A08B3"/>
    <w:rsid w:val="009C37A9"/>
    <w:rsid w:val="009D2857"/>
    <w:rsid w:val="009E5CDA"/>
    <w:rsid w:val="00A12F89"/>
    <w:rsid w:val="00A20F48"/>
    <w:rsid w:val="00A32479"/>
    <w:rsid w:val="00A52DD5"/>
    <w:rsid w:val="00A548C4"/>
    <w:rsid w:val="00A56EA0"/>
    <w:rsid w:val="00A61262"/>
    <w:rsid w:val="00A67123"/>
    <w:rsid w:val="00A7689C"/>
    <w:rsid w:val="00AA3C89"/>
    <w:rsid w:val="00AC2FDA"/>
    <w:rsid w:val="00AC5CEB"/>
    <w:rsid w:val="00AF00B0"/>
    <w:rsid w:val="00AF73CE"/>
    <w:rsid w:val="00B1165A"/>
    <w:rsid w:val="00B136BC"/>
    <w:rsid w:val="00B269E5"/>
    <w:rsid w:val="00B308CA"/>
    <w:rsid w:val="00B47101"/>
    <w:rsid w:val="00B51333"/>
    <w:rsid w:val="00B84BBE"/>
    <w:rsid w:val="00BA14E5"/>
    <w:rsid w:val="00BD6940"/>
    <w:rsid w:val="00C0403C"/>
    <w:rsid w:val="00C14BA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1BA0"/>
    <w:rsid w:val="00D17A65"/>
    <w:rsid w:val="00D32869"/>
    <w:rsid w:val="00D44BD2"/>
    <w:rsid w:val="00D57B0C"/>
    <w:rsid w:val="00D80F08"/>
    <w:rsid w:val="00D92CAE"/>
    <w:rsid w:val="00DA18C1"/>
    <w:rsid w:val="00DB6A25"/>
    <w:rsid w:val="00DD22FE"/>
    <w:rsid w:val="00DD2E61"/>
    <w:rsid w:val="00E00DF0"/>
    <w:rsid w:val="00E02B33"/>
    <w:rsid w:val="00E21ACE"/>
    <w:rsid w:val="00E520F6"/>
    <w:rsid w:val="00E547A2"/>
    <w:rsid w:val="00E54859"/>
    <w:rsid w:val="00EA3E1B"/>
    <w:rsid w:val="00EE19A6"/>
    <w:rsid w:val="00F05E4C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aliases w:val="جدول,Medium Grid 1 - Accent 21"/>
    <w:basedOn w:val="Normal"/>
    <w:link w:val="ListParagraphChar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جدول Char,Medium Grid 1 - Accent 21 Char"/>
    <w:link w:val="ListParagraph"/>
    <w:uiPriority w:val="34"/>
    <w:locked/>
    <w:rsid w:val="00D80F08"/>
  </w:style>
  <w:style w:type="character" w:customStyle="1" w:styleId="tlid-translation">
    <w:name w:val="tlid-translation"/>
    <w:basedOn w:val="DefaultParagraphFont"/>
    <w:rsid w:val="006A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aliases w:val="جدول,Medium Grid 1 - Accent 21"/>
    <w:basedOn w:val="Normal"/>
    <w:link w:val="ListParagraphChar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جدول Char,Medium Grid 1 - Accent 21 Char"/>
    <w:link w:val="ListParagraph"/>
    <w:uiPriority w:val="34"/>
    <w:locked/>
    <w:rsid w:val="00D80F08"/>
  </w:style>
  <w:style w:type="character" w:customStyle="1" w:styleId="tlid-translation">
    <w:name w:val="tlid-translation"/>
    <w:basedOn w:val="DefaultParagraphFont"/>
    <w:rsid w:val="006A3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60DA-0332-46DF-8C00-C3755C5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taghizadeh</cp:lastModifiedBy>
  <cp:revision>2</cp:revision>
  <cp:lastPrinted>2019-01-12T10:07:00Z</cp:lastPrinted>
  <dcterms:created xsi:type="dcterms:W3CDTF">2022-12-29T08:18:00Z</dcterms:created>
  <dcterms:modified xsi:type="dcterms:W3CDTF">2022-12-29T08:18:00Z</dcterms:modified>
</cp:coreProperties>
</file>